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 xml:space="preserve">2564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(ระหว่าง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– กันยายน </w:t>
      </w:r>
      <w:r w:rsidRPr="00F023F5">
        <w:rPr>
          <w:rFonts w:ascii="TH SarabunPSK" w:hAnsi="TH SarabunPSK" w:cs="TH SarabunPSK"/>
          <w:sz w:val="36"/>
          <w:szCs w:val="36"/>
        </w:rPr>
        <w:t>2564</w:t>
      </w:r>
      <w:r w:rsidRPr="00F023F5">
        <w:rPr>
          <w:rFonts w:ascii="TH SarabunPSK" w:hAnsi="TH SarabunPSK" w:cs="TH SarabunPSK"/>
          <w:sz w:val="36"/>
          <w:szCs w:val="36"/>
          <w:cs/>
        </w:rPr>
        <w:t>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  <w:cs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  <w:cs/>
        </w:rPr>
        <w:t xml:space="preserve">: </w:t>
      </w:r>
      <w:r w:rsidRPr="00275F77">
        <w:rPr>
          <w:rFonts w:ascii="TH SarabunPSK" w:hAnsi="TH SarabunPSK" w:cs="TH SarabunPSK"/>
          <w:sz w:val="32"/>
        </w:rPr>
        <w:t>tanya</w:t>
      </w:r>
      <w:r w:rsidRPr="00275F77">
        <w:rPr>
          <w:rFonts w:ascii="TH SarabunPSK" w:hAnsi="TH SarabunPSK" w:cs="TH SarabunPSK"/>
          <w:sz w:val="32"/>
          <w:cs/>
        </w:rPr>
        <w:t>.</w:t>
      </w:r>
      <w:r w:rsidRPr="00275F77">
        <w:rPr>
          <w:rFonts w:ascii="TH SarabunPSK" w:hAnsi="TH SarabunPSK" w:cs="TH SarabunPSK"/>
          <w:sz w:val="32"/>
        </w:rPr>
        <w:t>a@tsu</w:t>
      </w:r>
      <w:r w:rsidRPr="00275F77">
        <w:rPr>
          <w:rFonts w:ascii="TH SarabunPSK" w:hAnsi="TH SarabunPSK" w:cs="TH SarabunPSK"/>
          <w:sz w:val="32"/>
          <w:cs/>
        </w:rPr>
        <w:t>.</w:t>
      </w:r>
      <w:r w:rsidRPr="00275F77">
        <w:rPr>
          <w:rFonts w:ascii="TH SarabunPSK" w:hAnsi="TH SarabunPSK" w:cs="TH SarabunPSK"/>
          <w:sz w:val="32"/>
        </w:rPr>
        <w:t>ac</w:t>
      </w:r>
      <w:r w:rsidRPr="00275F77">
        <w:rPr>
          <w:rFonts w:ascii="TH SarabunPSK" w:hAnsi="TH SarabunPSK" w:cs="TH SarabunPSK"/>
          <w:sz w:val="32"/>
          <w:cs/>
        </w:rPr>
        <w:t>.</w:t>
      </w:r>
      <w:r w:rsidRPr="00275F77">
        <w:rPr>
          <w:rFonts w:ascii="TH SarabunPSK" w:hAnsi="TH SarabunPSK" w:cs="TH SarabunPSK"/>
          <w:sz w:val="32"/>
        </w:rPr>
        <w:t>th</w:t>
      </w:r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sz w:val="32"/>
        </w:rPr>
      </w:pPr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C6914" w:rsidRDefault="003904FA" w:rsidP="001C691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="001C6914" w:rsidRPr="00FD5E3C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</w:t>
        </w:r>
        <w:r w:rsidR="001C6914" w:rsidRPr="00FD5E3C">
          <w:rPr>
            <w:rStyle w:val="af9"/>
            <w:rFonts w:ascii="TH SarabunPSK" w:hAnsi="TH SarabunPSK" w:cs="TH SarabunPSK"/>
            <w:b/>
            <w:bCs/>
            <w:sz w:val="40"/>
            <w:szCs w:val="40"/>
            <w:cs/>
          </w:rPr>
          <w:t>://</w:t>
        </w:r>
        <w:r w:rsidR="001C6914" w:rsidRPr="00FD5E3C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forms</w:t>
        </w:r>
        <w:r w:rsidR="001C6914" w:rsidRPr="00FD5E3C">
          <w:rPr>
            <w:rStyle w:val="af9"/>
            <w:rFonts w:ascii="TH SarabunPSK" w:hAnsi="TH SarabunPSK" w:cs="TH SarabunPSK"/>
            <w:b/>
            <w:bCs/>
            <w:sz w:val="40"/>
            <w:szCs w:val="40"/>
            <w:cs/>
          </w:rPr>
          <w:t>.</w:t>
        </w:r>
        <w:r w:rsidR="001C6914" w:rsidRPr="00FD5E3C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gle</w:t>
        </w:r>
        <w:r w:rsidR="001C6914" w:rsidRPr="00FD5E3C">
          <w:rPr>
            <w:rStyle w:val="af9"/>
            <w:rFonts w:ascii="TH SarabunPSK" w:hAnsi="TH SarabunPSK" w:cs="TH SarabunPSK"/>
            <w:b/>
            <w:bCs/>
            <w:sz w:val="40"/>
            <w:szCs w:val="40"/>
            <w:cs/>
          </w:rPr>
          <w:t>/</w:t>
        </w:r>
        <w:r w:rsidR="001C6914" w:rsidRPr="00FD5E3C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kEzEdiohrHynQiBW8</w:t>
        </w:r>
      </w:hyperlink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eff671c36bef247289d07874d8b5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6914" w:rsidRDefault="001C6914" w:rsidP="001C691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C6914" w:rsidRDefault="003904FA" w:rsidP="001C691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://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drive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.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google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.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com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/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drive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/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folders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/</w:t>
        </w:r>
        <w:r w:rsidR="001C6914"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-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IL</w:t>
        </w:r>
        <w:r w:rsidR="001C6914"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 w:rsidR="001C6914"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 w:rsidR="001C6914"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 w:rsidR="001C6914"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=</w:t>
        </w:r>
        <w:r w:rsidR="001C6914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sharing</w:t>
        </w:r>
      </w:hyperlink>
    </w:p>
    <w:p w:rsidR="00F023F5" w:rsidRDefault="001C6914" w:rsidP="001C6914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E25F8B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5F8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สถาบันวิจัยและพัฒนา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  <w:cs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 xml:space="preserve">TPSF </w:t>
      </w:r>
      <w:r w:rsidRPr="00275F77">
        <w:rPr>
          <w:rFonts w:ascii="TH SarabunPSK" w:hAnsi="TH SarabunPSK" w:cs="TH SarabunPSK"/>
          <w:sz w:val="32"/>
          <w:cs/>
        </w:rPr>
        <w:t>(</w:t>
      </w:r>
      <w:r w:rsidRPr="00275F77">
        <w:rPr>
          <w:rFonts w:ascii="TH SarabunPSK" w:hAnsi="TH SarabunPSK" w:cs="TH SarabunPSK"/>
          <w:sz w:val="32"/>
        </w:rPr>
        <w:t>Teaching Professional Standard Framework</w:t>
      </w:r>
      <w:r w:rsidRPr="00275F77">
        <w:rPr>
          <w:rFonts w:ascii="TH SarabunPSK" w:hAnsi="TH SarabunPSK" w:cs="TH SarabunPSK"/>
          <w:sz w:val="32"/>
          <w:cs/>
        </w:rPr>
        <w:t>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</w:t>
      </w:r>
      <w:r w:rsidRPr="00275F77">
        <w:rPr>
          <w:rFonts w:ascii="TH SarabunPSK" w:hAnsi="TH SarabunPSK" w:cs="TH SarabunPSK"/>
          <w:sz w:val="32"/>
          <w:cs/>
        </w:rPr>
        <w:t>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 xml:space="preserve">Cooperative Work Integrated Education </w:t>
      </w:r>
      <w:r w:rsidRPr="00275F77">
        <w:rPr>
          <w:rFonts w:ascii="TH SarabunPSK" w:hAnsi="TH SarabunPSK" w:cs="TH SarabunPSK"/>
          <w:sz w:val="32"/>
          <w:cs/>
        </w:rPr>
        <w:t>(</w:t>
      </w:r>
      <w:r w:rsidRPr="00275F77">
        <w:rPr>
          <w:rFonts w:ascii="TH SarabunPSK" w:hAnsi="TH SarabunPSK" w:cs="TH SarabunPSK"/>
          <w:sz w:val="32"/>
        </w:rPr>
        <w:t>CWIE</w:t>
      </w:r>
      <w:r w:rsidRPr="00275F77">
        <w:rPr>
          <w:rFonts w:ascii="TH SarabunPSK" w:hAnsi="TH SarabunPSK" w:cs="TH SarabunPSK"/>
          <w:sz w:val="32"/>
          <w:cs/>
        </w:rPr>
        <w:t>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</w:t>
      </w:r>
      <w:r w:rsidRPr="00275F77">
        <w:rPr>
          <w:rFonts w:ascii="TH SarabunPSK" w:hAnsi="TH SarabunPSK" w:cs="TH SarabunPSK"/>
          <w:sz w:val="32"/>
          <w:cs/>
        </w:rPr>
        <w:t>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>Smart Research Space</w:t>
      </w:r>
      <w:r w:rsidRPr="00275F77">
        <w:rPr>
          <w:rFonts w:ascii="TH SarabunPSK" w:hAnsi="TH SarabunPSK" w:cs="TH SarabunPSK"/>
          <w:sz w:val="32"/>
          <w:cs/>
        </w:rPr>
        <w:t>) 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>Research Value Chain</w:t>
      </w:r>
      <w:r w:rsidR="00275F77" w:rsidRPr="00275F77">
        <w:rPr>
          <w:rFonts w:ascii="TH SarabunPSK" w:hAnsi="TH SarabunPSK" w:cs="TH SarabunPSK"/>
          <w:sz w:val="32"/>
          <w:cs/>
        </w:rPr>
        <w:t xml:space="preserve">) 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</w:t>
      </w:r>
      <w:r w:rsidRPr="00275F77">
        <w:rPr>
          <w:rFonts w:ascii="TH SarabunPSK" w:hAnsi="TH SarabunPSK" w:cs="TH SarabunPSK"/>
          <w:sz w:val="32"/>
          <w:cs/>
        </w:rPr>
        <w:t>/แหล่งทุน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</w:t>
      </w:r>
      <w:r w:rsidRPr="00275F77">
        <w:rPr>
          <w:rFonts w:ascii="TH SarabunPSK" w:hAnsi="TH SarabunPSK" w:cs="TH SarabunPSK"/>
          <w:sz w:val="32"/>
          <w:cs/>
        </w:rPr>
        <w:t>/แหล่งทุน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>OTOP Academy</w:t>
      </w:r>
      <w:r w:rsidRPr="00275F77">
        <w:rPr>
          <w:rFonts w:ascii="TH SarabunPSK" w:hAnsi="TH SarabunPSK" w:cs="TH SarabunPSK"/>
          <w:sz w:val="32"/>
          <w:cs/>
        </w:rPr>
        <w:t>) 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</w:t>
      </w:r>
      <w:r w:rsidRPr="00275F77">
        <w:rPr>
          <w:rFonts w:ascii="TH SarabunPSK" w:hAnsi="TH SarabunPSK" w:cs="TH SarabunPSK"/>
          <w:sz w:val="32"/>
          <w:cs/>
        </w:rPr>
        <w:t>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</w:t>
      </w:r>
      <w:proofErr w:type="spellStart"/>
      <w:r w:rsidRPr="00275F77">
        <w:rPr>
          <w:rFonts w:ascii="TH SarabunPSK" w:hAnsi="TH SarabunPSK" w:cs="TH SarabunPSK"/>
          <w:sz w:val="32"/>
          <w:cs/>
        </w:rPr>
        <w:t>วส</w:t>
      </w:r>
      <w:proofErr w:type="spellEnd"/>
      <w:r w:rsidRPr="00275F77">
        <w:rPr>
          <w:rFonts w:ascii="TH SarabunPSK" w:hAnsi="TH SarabunPSK" w:cs="TH SarabunPSK"/>
          <w:sz w:val="32"/>
          <w:cs/>
        </w:rPr>
        <w:t>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>Co</w:t>
      </w:r>
      <w:r w:rsidR="00275F77" w:rsidRPr="00275F77">
        <w:rPr>
          <w:rFonts w:ascii="TH SarabunPSK" w:hAnsi="TH SarabunPSK" w:cs="TH SarabunPSK"/>
          <w:sz w:val="32"/>
          <w:cs/>
        </w:rPr>
        <w:t>-</w:t>
      </w:r>
      <w:r w:rsidR="00275F77" w:rsidRPr="00275F77">
        <w:rPr>
          <w:rFonts w:ascii="TH SarabunPSK" w:hAnsi="TH SarabunPSK" w:cs="TH SarabunPSK"/>
          <w:sz w:val="32"/>
        </w:rPr>
        <w:t xml:space="preserve">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>Startup</w:t>
      </w:r>
      <w:r w:rsidR="00275F77" w:rsidRPr="00275F77">
        <w:rPr>
          <w:rFonts w:ascii="TH SarabunPSK" w:hAnsi="TH SarabunPSK" w:cs="TH SarabunPSK"/>
          <w:sz w:val="32"/>
          <w:cs/>
        </w:rPr>
        <w:t>) 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</w:t>
      </w:r>
      <w:r w:rsidRPr="00275F77">
        <w:rPr>
          <w:rFonts w:ascii="TH SarabunPSK" w:hAnsi="TH SarabunPSK" w:cs="TH SarabunPSK"/>
          <w:sz w:val="32"/>
          <w:cs/>
        </w:rPr>
        <w:t>-</w:t>
      </w:r>
      <w:r w:rsidRPr="00275F77">
        <w:rPr>
          <w:rFonts w:ascii="TH SarabunPSK" w:hAnsi="TH SarabunPSK" w:cs="TH SarabunPSK"/>
          <w:sz w:val="32"/>
        </w:rPr>
        <w:t>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>Re</w:t>
      </w:r>
      <w:r w:rsidRPr="00275F77">
        <w:rPr>
          <w:rFonts w:ascii="TH SarabunPSK" w:hAnsi="TH SarabunPSK" w:cs="TH SarabunPSK"/>
          <w:sz w:val="32"/>
          <w:cs/>
        </w:rPr>
        <w:t>-</w:t>
      </w:r>
      <w:r w:rsidRPr="00275F77">
        <w:rPr>
          <w:rFonts w:ascii="TH SarabunPSK" w:hAnsi="TH SarabunPSK" w:cs="TH SarabunPSK"/>
          <w:sz w:val="32"/>
        </w:rPr>
        <w:t xml:space="preserve">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>Happy University</w:t>
      </w:r>
      <w:r w:rsidRPr="00275F77">
        <w:rPr>
          <w:rFonts w:ascii="TH SarabunPSK" w:hAnsi="TH SarabunPSK" w:cs="TH SarabunPSK"/>
          <w:sz w:val="32"/>
          <w:cs/>
        </w:rPr>
        <w:t>) : 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</w:t>
      </w:r>
      <w:r w:rsidRPr="00275F77">
        <w:rPr>
          <w:rFonts w:ascii="TH SarabunPSK" w:hAnsi="TH SarabunPSK" w:cs="TH SarabunPSK"/>
          <w:sz w:val="32"/>
          <w:cs/>
        </w:rPr>
        <w:t>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>Core Value</w:t>
      </w:r>
      <w:r w:rsidRPr="00275F77">
        <w:rPr>
          <w:rFonts w:ascii="TH SarabunPSK" w:hAnsi="TH SarabunPSK" w:cs="TH SarabunPSK"/>
          <w:sz w:val="32"/>
          <w:cs/>
        </w:rPr>
        <w:t>) 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</w:t>
      </w:r>
      <w:r w:rsidRPr="00275F77">
        <w:rPr>
          <w:rFonts w:ascii="TH SarabunPSK" w:hAnsi="TH SarabunPSK" w:cs="TH SarabunPSK"/>
          <w:sz w:val="32"/>
          <w:cs/>
        </w:rPr>
        <w:t>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</w:t>
      </w:r>
      <w:r w:rsidRPr="00275F77">
        <w:rPr>
          <w:rFonts w:ascii="TH SarabunPSK" w:hAnsi="TH SarabunPSK" w:cs="TH SarabunPSK"/>
          <w:sz w:val="32"/>
          <w:cs/>
        </w:rPr>
        <w:t>-</w:t>
      </w:r>
      <w:r w:rsidRPr="00275F77">
        <w:rPr>
          <w:rFonts w:ascii="TH SarabunPSK" w:hAnsi="TH SarabunPSK" w:cs="TH SarabunPSK"/>
          <w:sz w:val="32"/>
        </w:rPr>
        <w:t>degree</w:t>
      </w:r>
      <w:r w:rsidRPr="00275F77">
        <w:rPr>
          <w:rFonts w:ascii="TH SarabunPSK" w:hAnsi="TH SarabunPSK" w:cs="TH SarabunPSK"/>
          <w:sz w:val="32"/>
          <w:cs/>
        </w:rPr>
        <w:t>/</w:t>
      </w:r>
      <w:r w:rsidRPr="00275F77">
        <w:rPr>
          <w:rFonts w:ascii="TH SarabunPSK" w:hAnsi="TH SarabunPSK" w:cs="TH SarabunPSK"/>
          <w:sz w:val="32"/>
        </w:rPr>
        <w:t>Pre</w:t>
      </w:r>
      <w:r w:rsidRPr="00275F77">
        <w:rPr>
          <w:rFonts w:ascii="TH SarabunPSK" w:hAnsi="TH SarabunPSK" w:cs="TH SarabunPSK"/>
          <w:sz w:val="32"/>
          <w:cs/>
        </w:rPr>
        <w:t>-</w:t>
      </w:r>
      <w:r w:rsidRPr="00275F77">
        <w:rPr>
          <w:rFonts w:ascii="TH SarabunPSK" w:hAnsi="TH SarabunPSK" w:cs="TH SarabunPSK"/>
          <w:sz w:val="32"/>
        </w:rPr>
        <w:t>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</w:t>
      </w:r>
      <w:r w:rsidRPr="00275F77">
        <w:rPr>
          <w:rFonts w:ascii="TH SarabunPSK" w:hAnsi="TH SarabunPSK" w:cs="TH SarabunPSK"/>
          <w:sz w:val="32"/>
          <w:cs/>
        </w:rPr>
        <w:t>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25F8B" w:rsidRDefault="00445043" w:rsidP="00275F77">
      <w:pPr>
        <w:pStyle w:val="a3"/>
        <w:rPr>
          <w:rFonts w:ascii="TH SarabunPSK" w:hAnsi="TH SarabunPSK" w:cs="TH SarabunPSK"/>
          <w:sz w:val="32"/>
          <w:cs/>
        </w:rPr>
        <w:sectPr w:rsidR="00E25F8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cs/>
        </w:rPr>
        <w:br w:type="page"/>
      </w:r>
    </w:p>
    <w:p w:rsidR="00E25F8B" w:rsidRDefault="00E25F8B" w:rsidP="00275F77">
      <w:pPr>
        <w:pStyle w:val="a3"/>
        <w:rPr>
          <w:rFonts w:ascii="TH SarabunPSK" w:hAnsi="TH SarabunPSK" w:cs="TH SarabunPSK"/>
          <w:sz w:val="32"/>
        </w:rPr>
      </w:pPr>
      <w:r w:rsidRPr="00E25F8B">
        <w:rPr>
          <w:rFonts w:ascii="TH SarabunPSK" w:hAnsi="TH SarabunPSK" w:cs="TH SarabunPSK" w:hint="cs"/>
          <w:sz w:val="32"/>
          <w:cs/>
        </w:rPr>
        <w:lastRenderedPageBreak/>
        <w:t>การวิจัย</w:t>
      </w:r>
    </w:p>
    <w:p w:rsidR="00E25F8B" w:rsidRDefault="00E25F8B" w:rsidP="00E25F8B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</w:rPr>
      </w:pPr>
      <w:r w:rsidRPr="00E25F8B">
        <w:rPr>
          <w:rFonts w:ascii="TH SarabunPSK" w:hAnsi="TH SarabunPSK" w:cs="TH SarabunPSK" w:hint="cs"/>
          <w:sz w:val="32"/>
          <w:cs/>
        </w:rPr>
        <w:t>การส่งเสริมวิจัย</w:t>
      </w:r>
    </w:p>
    <w:p w:rsidR="00E25F8B" w:rsidRDefault="00E25F8B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E25F8B">
        <w:rPr>
          <w:rFonts w:ascii="TH SarabunPSK" w:hAnsi="TH SarabunPSK" w:cs="TH SarabunPSK" w:hint="cs"/>
          <w:sz w:val="32"/>
          <w:cs/>
        </w:rPr>
        <w:t>บุคลากรมหาวิทยาลัยทักษิณ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ปีงบประมาณ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พ</w:t>
      </w:r>
      <w:r w:rsidRPr="00E25F8B">
        <w:rPr>
          <w:rFonts w:ascii="TH SarabunPSK" w:hAnsi="TH SarabunPSK" w:cs="TH SarabunPSK"/>
          <w:sz w:val="32"/>
          <w:cs/>
        </w:rPr>
        <w:t>.</w:t>
      </w:r>
      <w:r w:rsidRPr="00E25F8B">
        <w:rPr>
          <w:rFonts w:ascii="TH SarabunPSK" w:hAnsi="TH SarabunPSK" w:cs="TH SarabunPSK" w:hint="cs"/>
          <w:sz w:val="32"/>
          <w:cs/>
        </w:rPr>
        <w:t>ศ</w:t>
      </w:r>
      <w:r w:rsidRPr="00E25F8B">
        <w:rPr>
          <w:rFonts w:ascii="TH SarabunPSK" w:hAnsi="TH SarabunPSK" w:cs="TH SarabunPSK"/>
          <w:sz w:val="32"/>
          <w:cs/>
        </w:rPr>
        <w:t xml:space="preserve">. 2564 </w:t>
      </w:r>
      <w:r w:rsidRPr="00E25F8B">
        <w:rPr>
          <w:rFonts w:ascii="TH SarabunPSK" w:hAnsi="TH SarabunPSK" w:cs="TH SarabunPSK" w:hint="cs"/>
          <w:sz w:val="32"/>
          <w:cs/>
        </w:rPr>
        <w:t>จำแนกตามตำแหน่งทางวิชาการ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593"/>
        <w:gridCol w:w="1513"/>
        <w:gridCol w:w="1560"/>
        <w:gridCol w:w="1702"/>
        <w:gridCol w:w="1982"/>
      </w:tblGrid>
      <w:tr w:rsidR="007F0D01" w:rsidRPr="00C17E67" w:rsidTr="00856643">
        <w:tc>
          <w:tcPr>
            <w:tcW w:w="1387" w:type="pct"/>
            <w:vMerge w:val="restart"/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แหล่งเงินทุนวิจัย</w:t>
            </w:r>
          </w:p>
        </w:tc>
        <w:tc>
          <w:tcPr>
            <w:tcW w:w="3613" w:type="pct"/>
            <w:gridSpan w:val="4"/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กลุ่มสาขาการวิจัย</w:t>
            </w:r>
          </w:p>
        </w:tc>
      </w:tr>
      <w:tr w:rsidR="007F0D01" w:rsidRPr="00C17E67" w:rsidTr="00856643">
        <w:tc>
          <w:tcPr>
            <w:tcW w:w="1387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วิทยาศาสตร์สุขภาพ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วิทยาศาสตร์และเทคโนโลยี</w:t>
            </w:r>
          </w:p>
        </w:tc>
        <w:tc>
          <w:tcPr>
            <w:tcW w:w="910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มนุษยศาสตร์และสังคมศาสตร์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หน่วย</w:t>
            </w:r>
          </w:p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(โครงการ/บาท)</w:t>
            </w:r>
          </w:p>
        </w:tc>
      </w:tr>
      <w:tr w:rsidR="00856643" w:rsidRPr="00C17E67" w:rsidTr="0085664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7F0D01" w:rsidRDefault="00856643" w:rsidP="00856643">
            <w:pPr>
              <w:pStyle w:val="a3"/>
              <w:numPr>
                <w:ilvl w:val="0"/>
                <w:numId w:val="33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7F0D01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งบประมาณแผ่นดิน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856643" w:rsidRPr="00C17E67" w:rsidTr="0085664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856643" w:rsidRPr="00C17E67" w:rsidTr="0085664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numPr>
                <w:ilvl w:val="0"/>
                <w:numId w:val="33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งบประมาณเงินรายได้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856643" w:rsidRPr="00C17E67" w:rsidTr="0085664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ของมหาวิทยาลัย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856643" w:rsidRPr="00C17E67" w:rsidTr="0085664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numPr>
                <w:ilvl w:val="0"/>
                <w:numId w:val="33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งบประมาณเงินรายได้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856643" w:rsidRPr="00C17E67" w:rsidTr="0085664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ของหน่วยงาน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856643" w:rsidRPr="00C17E67" w:rsidTr="0085664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ภายในมหาวิทยาลัย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856643" w:rsidRPr="00C17E67" w:rsidTr="0085664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numPr>
                <w:ilvl w:val="0"/>
                <w:numId w:val="33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แหล่งอื่น ๆ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856643" w:rsidRPr="00C17E67" w:rsidTr="00856643">
        <w:tc>
          <w:tcPr>
            <w:tcW w:w="1387" w:type="pct"/>
            <w:tcBorders>
              <w:top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(</w:t>
            </w: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องค์กรภายนอก</w:t>
            </w: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)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856643" w:rsidRPr="00C17E67" w:rsidTr="00856643">
        <w:tc>
          <w:tcPr>
            <w:tcW w:w="1387" w:type="pct"/>
            <w:vMerge w:val="restart"/>
            <w:shd w:val="clear" w:color="auto" w:fill="auto"/>
            <w:vAlign w:val="center"/>
          </w:tcPr>
          <w:p w:rsidR="00856643" w:rsidRPr="00856643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รวมทั้ง</w:t>
            </w: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4 </w:t>
            </w: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แหล่ง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856643" w:rsidRPr="00C17E67" w:rsidTr="00856643">
        <w:tc>
          <w:tcPr>
            <w:tcW w:w="1387" w:type="pct"/>
            <w:vMerge/>
            <w:shd w:val="clear" w:color="auto" w:fill="auto"/>
            <w:vAlign w:val="center"/>
          </w:tcPr>
          <w:p w:rsidR="00856643" w:rsidRPr="00856643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4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60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</w:tbl>
    <w:p w:rsidR="00E91FB3" w:rsidRDefault="00E91FB3" w:rsidP="007F0D01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E25F8B" w:rsidRDefault="00E25F8B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E25F8B">
        <w:rPr>
          <w:rFonts w:ascii="TH SarabunPSK" w:hAnsi="TH SarabunPSK" w:cs="TH SarabunPSK" w:hint="cs"/>
          <w:sz w:val="32"/>
          <w:cs/>
        </w:rPr>
        <w:lastRenderedPageBreak/>
        <w:t>จำนวนโครงการวิจัยและงบประมาณการวิจัยจำแนกตามแหล่งทุนและประเภทการวิจัย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594"/>
        <w:gridCol w:w="1513"/>
        <w:gridCol w:w="1702"/>
        <w:gridCol w:w="1561"/>
        <w:gridCol w:w="1980"/>
      </w:tblGrid>
      <w:tr w:rsidR="00856643" w:rsidRPr="00C17E67" w:rsidTr="00D63D46">
        <w:tc>
          <w:tcPr>
            <w:tcW w:w="1387" w:type="pct"/>
            <w:vMerge w:val="restart"/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แหล่งเงินทุนวิจัย</w:t>
            </w:r>
          </w:p>
        </w:tc>
        <w:tc>
          <w:tcPr>
            <w:tcW w:w="3613" w:type="pct"/>
            <w:gridSpan w:val="4"/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ประเภทการวิจัย</w:t>
            </w:r>
          </w:p>
        </w:tc>
      </w:tr>
      <w:tr w:rsidR="00856643" w:rsidRPr="00C17E67" w:rsidTr="00E91FB3">
        <w:tc>
          <w:tcPr>
            <w:tcW w:w="1387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วิจัยเพื่อสร้างองค์ความรู้</w:t>
            </w:r>
          </w:p>
        </w:tc>
        <w:tc>
          <w:tcPr>
            <w:tcW w:w="910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วิจัยเพื่อถ่ายทอดเทคโนโลยี</w:t>
            </w:r>
          </w:p>
        </w:tc>
        <w:tc>
          <w:tcPr>
            <w:tcW w:w="835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รวม</w:t>
            </w: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2 </w:t>
            </w: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ประเภท</w:t>
            </w:r>
          </w:p>
        </w:tc>
        <w:tc>
          <w:tcPr>
            <w:tcW w:w="1059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หน่วย</w:t>
            </w:r>
          </w:p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(โครงการ/บาท)</w:t>
            </w:r>
          </w:p>
        </w:tc>
      </w:tr>
      <w:tr w:rsidR="00856643" w:rsidRPr="00C17E67" w:rsidTr="00E91FB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7F0D01" w:rsidRDefault="00856643" w:rsidP="00856643">
            <w:pPr>
              <w:pStyle w:val="a3"/>
              <w:numPr>
                <w:ilvl w:val="0"/>
                <w:numId w:val="35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7F0D01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งบประมาณแผ่นดิน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E91FB3" w:rsidRPr="00C17E67" w:rsidTr="00E91FB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856643">
            <w:pPr>
              <w:pStyle w:val="a3"/>
              <w:numPr>
                <w:ilvl w:val="0"/>
                <w:numId w:val="35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งบประมาณรายจ่าย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จากเงินรายได้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856643" w:rsidRPr="00C17E67" w:rsidTr="00E91FB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856643" w:rsidRDefault="00856643" w:rsidP="00D63D46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ของมหาวิทยาลัย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856643" w:rsidRPr="00C17E67" w:rsidTr="00E91FB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856643" w:rsidRPr="00C17E67" w:rsidRDefault="00E91FB3" w:rsidP="00856643">
            <w:pPr>
              <w:pStyle w:val="a3"/>
              <w:numPr>
                <w:ilvl w:val="0"/>
                <w:numId w:val="35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งบประมาณรายจ่าย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856643" w:rsidRPr="00C17E67" w:rsidRDefault="00856643" w:rsidP="00D63D46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FB3" w:rsidRPr="00E91FB3" w:rsidRDefault="00E91FB3" w:rsidP="00E91FB3">
            <w:pPr>
              <w:pStyle w:val="a3"/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จากเงินรายได้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FB3" w:rsidRPr="00E91FB3" w:rsidRDefault="00E91FB3" w:rsidP="00E91FB3">
            <w:pPr>
              <w:pStyle w:val="a3"/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ของหน่วยงาน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ภายในมหาวิทยาลัย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FB3" w:rsidRPr="00E91FB3" w:rsidRDefault="00E91FB3" w:rsidP="00E91FB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(</w:t>
            </w: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คณะ</w:t>
            </w:r>
            <w:r w:rsidRPr="00E91FB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</w:t>
            </w: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สถาบัน</w:t>
            </w:r>
          </w:p>
        </w:tc>
        <w:tc>
          <w:tcPr>
            <w:tcW w:w="80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E91FB3" w:rsidRPr="00C17E67" w:rsidTr="00E91FB3">
        <w:tc>
          <w:tcPr>
            <w:tcW w:w="138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สำนัก</w:t>
            </w:r>
            <w:r w:rsidRPr="00E91FB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</w:t>
            </w: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ศูนย์</w:t>
            </w:r>
            <w:r w:rsidRPr="00E91FB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</w:t>
            </w:r>
            <w:r w:rsidRPr="00E91FB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วิทยาลัย</w:t>
            </w:r>
            <w:r w:rsidRPr="00E91FB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)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E91FB3" w:rsidRPr="00C17E67" w:rsidTr="00E91FB3">
        <w:tc>
          <w:tcPr>
            <w:tcW w:w="1387" w:type="pct"/>
            <w:tcBorders>
              <w:bottom w:val="nil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numPr>
                <w:ilvl w:val="0"/>
                <w:numId w:val="35"/>
              </w:numPr>
              <w:ind w:left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แหล่งอื่น ๆ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E91FB3" w:rsidRPr="00C17E67" w:rsidTr="00E91FB3">
        <w:tc>
          <w:tcPr>
            <w:tcW w:w="1387" w:type="pct"/>
            <w:tcBorders>
              <w:top w:val="nil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ind w:firstLine="455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(</w:t>
            </w: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องค์กรภายนอก</w:t>
            </w: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)</w:t>
            </w:r>
          </w:p>
        </w:tc>
        <w:tc>
          <w:tcPr>
            <w:tcW w:w="80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  <w:tr w:rsidR="00E91FB3" w:rsidRPr="00C17E67" w:rsidTr="00E91FB3">
        <w:tc>
          <w:tcPr>
            <w:tcW w:w="1387" w:type="pct"/>
            <w:vMerge w:val="restart"/>
            <w:shd w:val="clear" w:color="auto" w:fill="auto"/>
            <w:vAlign w:val="center"/>
          </w:tcPr>
          <w:p w:rsidR="00E91FB3" w:rsidRPr="00856643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รวมทั้ง</w:t>
            </w:r>
            <w:r w:rsidRPr="00856643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 4 </w:t>
            </w:r>
            <w:r w:rsidRPr="00856643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แหล่ง</w:t>
            </w:r>
          </w:p>
        </w:tc>
        <w:tc>
          <w:tcPr>
            <w:tcW w:w="80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โครงการ</w:t>
            </w:r>
          </w:p>
        </w:tc>
      </w:tr>
      <w:tr w:rsidR="00E91FB3" w:rsidRPr="00C17E67" w:rsidTr="00E91FB3">
        <w:tc>
          <w:tcPr>
            <w:tcW w:w="1387" w:type="pct"/>
            <w:vMerge/>
            <w:shd w:val="clear" w:color="auto" w:fill="auto"/>
            <w:vAlign w:val="center"/>
          </w:tcPr>
          <w:p w:rsidR="00E91FB3" w:rsidRPr="00856643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09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910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35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059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E91FB3" w:rsidRPr="00C17E67" w:rsidRDefault="00E91FB3" w:rsidP="00E91FB3">
            <w:pPr>
              <w:pStyle w:val="a3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..................</w:t>
            </w: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C17E6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บาท</w:t>
            </w:r>
          </w:p>
        </w:tc>
      </w:tr>
    </w:tbl>
    <w:p w:rsidR="007F0D01" w:rsidRDefault="007F0D01" w:rsidP="007F0D01">
      <w:pPr>
        <w:pStyle w:val="a3"/>
        <w:rPr>
          <w:rFonts w:ascii="TH SarabunPSK" w:hAnsi="TH SarabunPSK" w:cs="TH SarabunPSK"/>
          <w:sz w:val="32"/>
        </w:rPr>
      </w:pPr>
    </w:p>
    <w:p w:rsidR="00E25F8B" w:rsidRDefault="00E25F8B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E25F8B">
        <w:rPr>
          <w:rFonts w:ascii="TH SarabunPSK" w:hAnsi="TH SarabunPSK" w:cs="TH SarabunPSK" w:hint="cs"/>
          <w:sz w:val="32"/>
          <w:cs/>
        </w:rPr>
        <w:t>จำนวนผลงานตีพิมพ์ในวารสารระดับนานาชาติ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ในสาขาวิชาหลัก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/>
          <w:sz w:val="32"/>
        </w:rPr>
        <w:t>Competency Area</w:t>
      </w:r>
      <w:r w:rsidR="007F0D01">
        <w:rPr>
          <w:rFonts w:ascii="TH SarabunPSK" w:hAnsi="TH SarabunPSK" w:cs="TH SarabunPSK"/>
          <w:sz w:val="32"/>
        </w:rPr>
        <w:br/>
      </w:r>
      <w:r w:rsidRPr="00E25F8B">
        <w:rPr>
          <w:rFonts w:ascii="TH SarabunPSK" w:hAnsi="TH SarabunPSK" w:cs="TH SarabunPSK" w:hint="cs"/>
          <w:sz w:val="32"/>
          <w:cs/>
        </w:rPr>
        <w:t>ปี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พ</w:t>
      </w:r>
      <w:r w:rsidRPr="00E25F8B">
        <w:rPr>
          <w:rFonts w:ascii="TH SarabunPSK" w:hAnsi="TH SarabunPSK" w:cs="TH SarabunPSK"/>
          <w:sz w:val="32"/>
          <w:cs/>
        </w:rPr>
        <w:t>.</w:t>
      </w:r>
      <w:r w:rsidRPr="00E25F8B">
        <w:rPr>
          <w:rFonts w:ascii="TH SarabunPSK" w:hAnsi="TH SarabunPSK" w:cs="TH SarabunPSK" w:hint="cs"/>
          <w:sz w:val="32"/>
          <w:cs/>
        </w:rPr>
        <w:t>ศ</w:t>
      </w:r>
      <w:r w:rsidRPr="00E25F8B">
        <w:rPr>
          <w:rFonts w:ascii="TH SarabunPSK" w:hAnsi="TH SarabunPSK" w:cs="TH SarabunPSK"/>
          <w:sz w:val="32"/>
          <w:cs/>
        </w:rPr>
        <w:t xml:space="preserve">. </w:t>
      </w:r>
      <w:r w:rsidRPr="00E25F8B">
        <w:rPr>
          <w:rFonts w:ascii="TH SarabunPSK" w:hAnsi="TH SarabunPSK" w:cs="TH SarabunPSK"/>
          <w:sz w:val="32"/>
        </w:rPr>
        <w:t xml:space="preserve">2560 </w:t>
      </w:r>
      <w:r w:rsidRPr="00E25F8B">
        <w:rPr>
          <w:rFonts w:ascii="TH SarabunPSK" w:hAnsi="TH SarabunPSK" w:cs="TH SarabunPSK"/>
          <w:sz w:val="32"/>
          <w:cs/>
        </w:rPr>
        <w:t xml:space="preserve">– </w:t>
      </w:r>
      <w:r w:rsidRPr="00E25F8B">
        <w:rPr>
          <w:rFonts w:ascii="TH SarabunPSK" w:hAnsi="TH SarabunPSK" w:cs="TH SarabunPSK"/>
          <w:sz w:val="32"/>
        </w:rPr>
        <w:t xml:space="preserve">2564 </w:t>
      </w:r>
      <w:r w:rsidRPr="00E25F8B">
        <w:rPr>
          <w:rFonts w:ascii="TH SarabunPSK" w:hAnsi="TH SarabunPSK" w:cs="TH SarabunPSK" w:hint="cs"/>
          <w:sz w:val="32"/>
          <w:cs/>
        </w:rPr>
        <w:t>จากฐานข้อมูล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/>
          <w:sz w:val="32"/>
        </w:rPr>
        <w:t xml:space="preserve">SCOPUS </w:t>
      </w:r>
      <w:r w:rsidRPr="00E25F8B">
        <w:rPr>
          <w:rFonts w:ascii="TH SarabunPSK" w:hAnsi="TH SarabunPSK" w:cs="TH SarabunPSK" w:hint="cs"/>
          <w:sz w:val="32"/>
          <w:cs/>
        </w:rPr>
        <w:t>ข้อมูล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ณ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วันที่</w:t>
      </w:r>
      <w:r w:rsidRPr="00E25F8B">
        <w:rPr>
          <w:rFonts w:ascii="TH SarabunPSK" w:hAnsi="TH SarabunPSK" w:cs="TH SarabunPSK"/>
          <w:sz w:val="32"/>
          <w:cs/>
        </w:rPr>
        <w:t xml:space="preserve"> ………………………………..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423"/>
        <w:gridCol w:w="4927"/>
      </w:tblGrid>
      <w:tr w:rsidR="007F0D01" w:rsidRPr="000544E8" w:rsidTr="007F0D01">
        <w:trPr>
          <w:jc w:val="center"/>
        </w:trPr>
        <w:tc>
          <w:tcPr>
            <w:tcW w:w="2365" w:type="pct"/>
            <w:shd w:val="clear" w:color="auto" w:fill="D9D9D9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สาขาวิชาหลัก </w:t>
            </w:r>
            <w:r w:rsidRPr="000544E8">
              <w:rPr>
                <w:rFonts w:ascii="TH SarabunPSK" w:eastAsia="Cordia New" w:hAnsi="TH SarabunPSK" w:cs="TH SarabunPSK"/>
                <w:sz w:val="32"/>
                <w:szCs w:val="32"/>
              </w:rPr>
              <w:t>Competency Area</w:t>
            </w:r>
          </w:p>
        </w:tc>
        <w:tc>
          <w:tcPr>
            <w:tcW w:w="2635" w:type="pct"/>
            <w:shd w:val="clear" w:color="auto" w:fill="D9D9D9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จำนวนผลงานตีพิมพ์จากฐานข้อมูล</w:t>
            </w:r>
            <w:r w:rsidRPr="00054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SCOPUS </w:t>
            </w: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(ครั้ง)</w:t>
            </w:r>
          </w:p>
        </w:tc>
      </w:tr>
      <w:tr w:rsidR="007F0D01" w:rsidRPr="000544E8" w:rsidTr="007F0D01">
        <w:trPr>
          <w:jc w:val="center"/>
        </w:trPr>
        <w:tc>
          <w:tcPr>
            <w:tcW w:w="236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236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236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236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236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635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E91FB3" w:rsidRDefault="00E91FB3" w:rsidP="007F0D01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7F0D01" w:rsidRDefault="007F0D01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lastRenderedPageBreak/>
        <w:t>ผลงานที่ได้รับการอ้างอิง</w:t>
      </w:r>
      <w:r w:rsidRPr="007F0D01">
        <w:rPr>
          <w:rFonts w:ascii="TH SarabunPSK" w:hAnsi="TH SarabunPSK" w:cs="TH SarabunPSK"/>
          <w:sz w:val="32"/>
          <w:cs/>
        </w:rPr>
        <w:t xml:space="preserve"> (</w:t>
      </w:r>
      <w:r w:rsidRPr="007F0D01">
        <w:rPr>
          <w:rFonts w:ascii="TH SarabunPSK" w:hAnsi="TH SarabunPSK" w:cs="TH SarabunPSK"/>
          <w:sz w:val="32"/>
        </w:rPr>
        <w:t>Citation</w:t>
      </w:r>
      <w:r w:rsidRPr="007F0D01">
        <w:rPr>
          <w:rFonts w:ascii="TH SarabunPSK" w:hAnsi="TH SarabunPSK" w:cs="TH SarabunPSK"/>
          <w:sz w:val="32"/>
          <w:cs/>
        </w:rPr>
        <w:t xml:space="preserve">) </w:t>
      </w:r>
      <w:r w:rsidRPr="007F0D01">
        <w:rPr>
          <w:rFonts w:ascii="TH SarabunPSK" w:hAnsi="TH SarabunPSK" w:cs="TH SarabunPSK"/>
          <w:sz w:val="32"/>
        </w:rPr>
        <w:t xml:space="preserve">10 </w:t>
      </w:r>
      <w:r w:rsidRPr="007F0D01">
        <w:rPr>
          <w:rFonts w:ascii="TH SarabunPSK" w:hAnsi="TH SarabunPSK" w:cs="TH SarabunPSK" w:hint="cs"/>
          <w:sz w:val="32"/>
          <w:cs/>
        </w:rPr>
        <w:t>อันดับแรก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ปี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พ</w:t>
      </w:r>
      <w:r w:rsidRPr="007F0D01">
        <w:rPr>
          <w:rFonts w:ascii="TH SarabunPSK" w:hAnsi="TH SarabunPSK" w:cs="TH SarabunPSK"/>
          <w:sz w:val="32"/>
          <w:cs/>
        </w:rPr>
        <w:t>.</w:t>
      </w:r>
      <w:r w:rsidRPr="007F0D01">
        <w:rPr>
          <w:rFonts w:ascii="TH SarabunPSK" w:hAnsi="TH SarabunPSK" w:cs="TH SarabunPSK" w:hint="cs"/>
          <w:sz w:val="32"/>
          <w:cs/>
        </w:rPr>
        <w:t>ศ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/>
          <w:sz w:val="32"/>
        </w:rPr>
        <w:t xml:space="preserve">2564 </w:t>
      </w:r>
      <w:r w:rsidRPr="007F0D01">
        <w:rPr>
          <w:rFonts w:ascii="TH SarabunPSK" w:hAnsi="TH SarabunPSK" w:cs="TH SarabunPSK" w:hint="cs"/>
          <w:sz w:val="32"/>
          <w:cs/>
        </w:rPr>
        <w:t>จากฐานข้อมูล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/>
          <w:sz w:val="32"/>
        </w:rPr>
        <w:t xml:space="preserve">SCOPUS </w:t>
      </w:r>
      <w:r>
        <w:rPr>
          <w:rFonts w:ascii="TH SarabunPSK" w:hAnsi="TH SarabunPSK" w:cs="TH SarabunPSK"/>
          <w:sz w:val="32"/>
        </w:rPr>
        <w:br/>
      </w:r>
      <w:r w:rsidRPr="007F0D01">
        <w:rPr>
          <w:rFonts w:ascii="TH SarabunPSK" w:hAnsi="TH SarabunPSK" w:cs="TH SarabunPSK" w:hint="cs"/>
          <w:sz w:val="32"/>
          <w:cs/>
        </w:rPr>
        <w:t>ข้อมูล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ณ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วันที่</w:t>
      </w:r>
      <w:r w:rsidRPr="00E25F8B">
        <w:rPr>
          <w:rFonts w:ascii="TH SarabunPSK" w:hAnsi="TH SarabunPSK" w:cs="TH SarabunPSK"/>
          <w:sz w:val="32"/>
          <w:cs/>
        </w:rPr>
        <w:t xml:space="preserve"> ………………………………..</w:t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62"/>
        <w:gridCol w:w="8490"/>
      </w:tblGrid>
      <w:tr w:rsidR="007F0D01" w:rsidRPr="008C6606" w:rsidTr="007F0D01">
        <w:trPr>
          <w:jc w:val="center"/>
        </w:trPr>
        <w:tc>
          <w:tcPr>
            <w:tcW w:w="5000" w:type="pct"/>
            <w:gridSpan w:val="2"/>
            <w:shd w:val="clear" w:color="auto" w:fill="DAEEF3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z w:val="28"/>
                <w:cs/>
              </w:rPr>
              <w:t xml:space="preserve">จากฐานข้อมูล </w:t>
            </w:r>
            <w:r w:rsidRPr="008C6606">
              <w:rPr>
                <w:rFonts w:ascii="TH SarabunPSK" w:hAnsi="TH SarabunPSK" w:cs="TH SarabunPSK"/>
                <w:sz w:val="28"/>
              </w:rPr>
              <w:t xml:space="preserve">SCOPUS </w:t>
            </w:r>
            <w:r w:rsidRPr="008C6606">
              <w:rPr>
                <w:rFonts w:ascii="TH SarabunPSK" w:hAnsi="TH SarabunPSK" w:cs="TH SarabunPSK"/>
                <w:sz w:val="28"/>
                <w:cs/>
              </w:rPr>
              <w:t>ปี พ.ศ 256</w:t>
            </w:r>
            <w:r w:rsidRPr="008C6606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D9D9D9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4539" w:type="pct"/>
            <w:shd w:val="clear" w:color="auto" w:fill="D9D9D9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z w:val="28"/>
                <w:cs/>
              </w:rPr>
              <w:t>ผลงานที่ได้รับการอ้างอิง (</w:t>
            </w:r>
            <w:r w:rsidRPr="008C6606">
              <w:rPr>
                <w:rFonts w:ascii="TH SarabunPSK" w:hAnsi="TH SarabunPSK" w:cs="TH SarabunPSK"/>
                <w:sz w:val="28"/>
              </w:rPr>
              <w:t>Citation</w:t>
            </w:r>
            <w:r w:rsidRPr="008C660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C6606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8C6606">
              <w:rPr>
                <w:rFonts w:ascii="TH SarabunPSK" w:hAnsi="TH SarabunPSK" w:cs="TH SarabunPSK"/>
                <w:sz w:val="28"/>
                <w:cs/>
              </w:rPr>
              <w:t>อันดับแรก</w:t>
            </w: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1.</w:t>
            </w:r>
          </w:p>
        </w:tc>
        <w:tc>
          <w:tcPr>
            <w:tcW w:w="4539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C6606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2.</w:t>
            </w:r>
          </w:p>
        </w:tc>
        <w:tc>
          <w:tcPr>
            <w:tcW w:w="4539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3.</w:t>
            </w:r>
          </w:p>
        </w:tc>
        <w:tc>
          <w:tcPr>
            <w:tcW w:w="4539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...</w:t>
            </w:r>
          </w:p>
        </w:tc>
        <w:tc>
          <w:tcPr>
            <w:tcW w:w="4539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  <w:tr w:rsidR="007F0D01" w:rsidRPr="008C6606" w:rsidTr="007F0D01">
        <w:trPr>
          <w:jc w:val="center"/>
        </w:trPr>
        <w:tc>
          <w:tcPr>
            <w:tcW w:w="461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8C6606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10.</w:t>
            </w:r>
          </w:p>
        </w:tc>
        <w:tc>
          <w:tcPr>
            <w:tcW w:w="4539" w:type="pct"/>
            <w:shd w:val="clear" w:color="auto" w:fill="FFFFFF"/>
            <w:vAlign w:val="center"/>
          </w:tcPr>
          <w:p w:rsidR="007F0D01" w:rsidRPr="008C6606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</w:tr>
    </w:tbl>
    <w:p w:rsidR="007F0D01" w:rsidRDefault="007F0D01" w:rsidP="007F0D01">
      <w:pPr>
        <w:pStyle w:val="a3"/>
        <w:rPr>
          <w:rFonts w:ascii="TH SarabunPSK" w:hAnsi="TH SarabunPSK" w:cs="TH SarabunPSK"/>
          <w:sz w:val="32"/>
        </w:rPr>
      </w:pPr>
    </w:p>
    <w:p w:rsidR="007F0D01" w:rsidRDefault="007F0D01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t>สาขาที่มีผลงานการตีพิมพ์มากที่สุด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/>
          <w:sz w:val="32"/>
        </w:rPr>
        <w:t xml:space="preserve">20 </w:t>
      </w:r>
      <w:r w:rsidRPr="007F0D01">
        <w:rPr>
          <w:rFonts w:ascii="TH SarabunPSK" w:hAnsi="TH SarabunPSK" w:cs="TH SarabunPSK" w:hint="cs"/>
          <w:sz w:val="32"/>
          <w:cs/>
        </w:rPr>
        <w:t>อันดับแรก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ปี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พ</w:t>
      </w:r>
      <w:r w:rsidRPr="007F0D01">
        <w:rPr>
          <w:rFonts w:ascii="TH SarabunPSK" w:hAnsi="TH SarabunPSK" w:cs="TH SarabunPSK"/>
          <w:sz w:val="32"/>
          <w:cs/>
        </w:rPr>
        <w:t>.</w:t>
      </w:r>
      <w:r w:rsidRPr="007F0D01">
        <w:rPr>
          <w:rFonts w:ascii="TH SarabunPSK" w:hAnsi="TH SarabunPSK" w:cs="TH SarabunPSK" w:hint="cs"/>
          <w:sz w:val="32"/>
          <w:cs/>
        </w:rPr>
        <w:t>ศ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/>
          <w:sz w:val="32"/>
        </w:rPr>
        <w:t xml:space="preserve">2564 </w:t>
      </w:r>
      <w:r w:rsidRPr="007F0D01">
        <w:rPr>
          <w:rFonts w:ascii="TH SarabunPSK" w:hAnsi="TH SarabunPSK" w:cs="TH SarabunPSK" w:hint="cs"/>
          <w:sz w:val="32"/>
          <w:cs/>
        </w:rPr>
        <w:t>จากฐานข้อมูล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/>
          <w:sz w:val="32"/>
        </w:rPr>
        <w:t xml:space="preserve">SCOPUS </w:t>
      </w:r>
      <w:r>
        <w:rPr>
          <w:rFonts w:ascii="TH SarabunPSK" w:hAnsi="TH SarabunPSK" w:cs="TH SarabunPSK"/>
          <w:sz w:val="32"/>
        </w:rPr>
        <w:br/>
      </w:r>
      <w:r w:rsidRPr="007F0D01">
        <w:rPr>
          <w:rFonts w:ascii="TH SarabunPSK" w:hAnsi="TH SarabunPSK" w:cs="TH SarabunPSK" w:hint="cs"/>
          <w:sz w:val="32"/>
          <w:cs/>
        </w:rPr>
        <w:t>ข้อมูล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ณ</w:t>
      </w:r>
      <w:r w:rsidRPr="00E25F8B">
        <w:rPr>
          <w:rFonts w:ascii="TH SarabunPSK" w:hAnsi="TH SarabunPSK" w:cs="TH SarabunPSK"/>
          <w:sz w:val="32"/>
          <w:cs/>
        </w:rPr>
        <w:t xml:space="preserve"> </w:t>
      </w:r>
      <w:r w:rsidRPr="00E25F8B">
        <w:rPr>
          <w:rFonts w:ascii="TH SarabunPSK" w:hAnsi="TH SarabunPSK" w:cs="TH SarabunPSK" w:hint="cs"/>
          <w:sz w:val="32"/>
          <w:cs/>
        </w:rPr>
        <w:t>วันที่</w:t>
      </w:r>
      <w:r w:rsidRPr="00E25F8B">
        <w:rPr>
          <w:rFonts w:ascii="TH SarabunPSK" w:hAnsi="TH SarabunPSK" w:cs="TH SarabunPSK"/>
          <w:sz w:val="32"/>
          <w:cs/>
        </w:rPr>
        <w:t xml:space="preserve"> ………………………………..</w:t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62"/>
        <w:gridCol w:w="8490"/>
      </w:tblGrid>
      <w:tr w:rsidR="007F0D01" w:rsidRPr="000544E8" w:rsidTr="007F0D01">
        <w:trPr>
          <w:jc w:val="center"/>
        </w:trPr>
        <w:tc>
          <w:tcPr>
            <w:tcW w:w="5000" w:type="pct"/>
            <w:gridSpan w:val="2"/>
            <w:shd w:val="clear" w:color="auto" w:fill="DAEEF3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จากฐานข้อมูล </w:t>
            </w:r>
            <w:r w:rsidRPr="00054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SCOPUS </w:t>
            </w: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ปี พ.ศ 256</w:t>
            </w:r>
            <w:r w:rsidRPr="000544E8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D9D9D9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39" w:type="pct"/>
            <w:shd w:val="clear" w:color="auto" w:fill="D9D9D9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สาขาที่มีผลงานการตีพิมพ์มากที่สุด 2</w:t>
            </w:r>
            <w:r w:rsidRPr="00054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  <w:r w:rsidRPr="000544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อันดับแรก</w:t>
            </w: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1.</w:t>
            </w: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2.</w:t>
            </w: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</w:t>
            </w: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F0D01" w:rsidRPr="000544E8" w:rsidTr="007F0D01">
        <w:trPr>
          <w:jc w:val="center"/>
        </w:trPr>
        <w:tc>
          <w:tcPr>
            <w:tcW w:w="461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44E8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20.</w:t>
            </w:r>
          </w:p>
        </w:tc>
        <w:tc>
          <w:tcPr>
            <w:tcW w:w="4539" w:type="pct"/>
            <w:shd w:val="clear" w:color="auto" w:fill="FFFFFF"/>
          </w:tcPr>
          <w:p w:rsidR="007F0D01" w:rsidRPr="000544E8" w:rsidRDefault="007F0D01" w:rsidP="007F0D01">
            <w:pPr>
              <w:tabs>
                <w:tab w:val="left" w:pos="567"/>
                <w:tab w:val="left" w:pos="993"/>
              </w:tabs>
              <w:spacing w:line="216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E91FB3" w:rsidRDefault="00E91FB3" w:rsidP="007F0D01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7F0D01" w:rsidRDefault="007F0D01" w:rsidP="00E25F8B">
      <w:pPr>
        <w:pStyle w:val="a3"/>
        <w:numPr>
          <w:ilvl w:val="1"/>
          <w:numId w:val="17"/>
        </w:numPr>
        <w:ind w:left="1134" w:hanging="425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lastRenderedPageBreak/>
        <w:t>การคุ้มครองทรัพย์สินทางปัญญา</w:t>
      </w:r>
    </w:p>
    <w:p w:rsidR="007F0D01" w:rsidRDefault="007F0D01" w:rsidP="007F0D01">
      <w:pPr>
        <w:pStyle w:val="a3"/>
        <w:numPr>
          <w:ilvl w:val="2"/>
          <w:numId w:val="17"/>
        </w:numPr>
        <w:ind w:left="1843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t>การยื่นจดทะเบียนทรัพย์สินทางปัญญา</w:t>
      </w:r>
    </w:p>
    <w:p w:rsidR="007F0D01" w:rsidRDefault="007F0D01" w:rsidP="007F0D01">
      <w:pPr>
        <w:pStyle w:val="a3"/>
        <w:ind w:firstLine="1843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t>ปีงบประมาณ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พ</w:t>
      </w:r>
      <w:r w:rsidRPr="007F0D01">
        <w:rPr>
          <w:rFonts w:ascii="TH SarabunPSK" w:hAnsi="TH SarabunPSK" w:cs="TH SarabunPSK"/>
          <w:sz w:val="32"/>
          <w:cs/>
        </w:rPr>
        <w:t>.</w:t>
      </w:r>
      <w:r w:rsidRPr="007F0D01">
        <w:rPr>
          <w:rFonts w:ascii="TH SarabunPSK" w:hAnsi="TH SarabunPSK" w:cs="TH SarabunPSK" w:hint="cs"/>
          <w:sz w:val="32"/>
          <w:cs/>
        </w:rPr>
        <w:t>ศ</w:t>
      </w:r>
      <w:r w:rsidRPr="007F0D01">
        <w:rPr>
          <w:rFonts w:ascii="TH SarabunPSK" w:hAnsi="TH SarabunPSK" w:cs="TH SarabunPSK"/>
          <w:sz w:val="32"/>
          <w:cs/>
        </w:rPr>
        <w:t xml:space="preserve">. 2564 </w:t>
      </w:r>
      <w:r w:rsidRPr="007F0D01">
        <w:rPr>
          <w:rFonts w:ascii="TH SarabunPSK" w:hAnsi="TH SarabunPSK" w:cs="TH SarabunPSK" w:hint="cs"/>
          <w:sz w:val="32"/>
          <w:cs/>
        </w:rPr>
        <w:t>มหาวิทยาลัยทักษิณได้ดำเนินการขอรับความคุ้มครองทรัพย์สินทางปัญญาตามขั้นตอนต่าง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ๆ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แล้วดังนี้</w:t>
      </w:r>
    </w:p>
    <w:tbl>
      <w:tblPr>
        <w:tblW w:w="5000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1191"/>
        <w:gridCol w:w="906"/>
        <w:gridCol w:w="906"/>
        <w:gridCol w:w="905"/>
        <w:gridCol w:w="907"/>
        <w:gridCol w:w="907"/>
        <w:gridCol w:w="907"/>
        <w:gridCol w:w="907"/>
        <w:gridCol w:w="907"/>
        <w:gridCol w:w="911"/>
      </w:tblGrid>
      <w:tr w:rsidR="007F0D01" w:rsidRPr="000544E8" w:rsidTr="007F0D01">
        <w:trPr>
          <w:trHeight w:val="418"/>
        </w:trPr>
        <w:tc>
          <w:tcPr>
            <w:tcW w:w="636" w:type="pct"/>
            <w:vMerge w:val="restart"/>
            <w:shd w:val="clear" w:color="auto" w:fill="31849B"/>
            <w:noWrap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sz w:val="28"/>
                <w:cs/>
              </w:rPr>
              <w:t>ประเภท</w:t>
            </w:r>
          </w:p>
          <w:p w:rsidR="007F0D01" w:rsidRPr="000544E8" w:rsidRDefault="007F0D01" w:rsidP="007F0D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sz w:val="28"/>
                <w:cs/>
              </w:rPr>
              <w:t>ทรัพย์สิน</w:t>
            </w:r>
          </w:p>
          <w:p w:rsidR="007F0D01" w:rsidRPr="000544E8" w:rsidRDefault="007F0D01" w:rsidP="007F0D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sz w:val="28"/>
                <w:cs/>
              </w:rPr>
              <w:t>ทางปัญญา</w:t>
            </w:r>
          </w:p>
        </w:tc>
        <w:tc>
          <w:tcPr>
            <w:tcW w:w="4364" w:type="pct"/>
            <w:gridSpan w:val="9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จำนวนเรื่องที่อยู่ระหว่างดำเนินการตามขั้นตอน</w:t>
            </w:r>
          </w:p>
        </w:tc>
      </w:tr>
      <w:tr w:rsidR="007F0D01" w:rsidRPr="000544E8" w:rsidTr="007F0D01">
        <w:trPr>
          <w:trHeight w:val="1245"/>
        </w:trPr>
        <w:tc>
          <w:tcPr>
            <w:tcW w:w="636" w:type="pct"/>
            <w:vMerge/>
            <w:shd w:val="clear" w:color="auto" w:fill="31849B"/>
            <w:noWrap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4" w:type="pct"/>
            <w:shd w:val="clear" w:color="auto" w:fill="B6DDE8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แจ้งความจำนง</w:t>
            </w:r>
          </w:p>
        </w:tc>
        <w:tc>
          <w:tcPr>
            <w:tcW w:w="484" w:type="pct"/>
            <w:shd w:val="clear" w:color="auto" w:fill="D9D9D9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484" w:type="pct"/>
            <w:shd w:val="clear" w:color="auto" w:fill="B6DDE8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ยกร่าง</w:t>
            </w:r>
          </w:p>
        </w:tc>
        <w:tc>
          <w:tcPr>
            <w:tcW w:w="485" w:type="pct"/>
            <w:shd w:val="clear" w:color="auto" w:fill="D9D9D9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ยื่นจด</w:t>
            </w:r>
          </w:p>
        </w:tc>
        <w:tc>
          <w:tcPr>
            <w:tcW w:w="485" w:type="pct"/>
            <w:shd w:val="clear" w:color="auto" w:fill="B6DDE8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ประกาศโฆษณา</w:t>
            </w:r>
          </w:p>
        </w:tc>
        <w:tc>
          <w:tcPr>
            <w:tcW w:w="485" w:type="pct"/>
            <w:shd w:val="clear" w:color="auto" w:fill="D9D9D9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กรมฯ สั่งแก้ไข</w:t>
            </w:r>
          </w:p>
        </w:tc>
        <w:tc>
          <w:tcPr>
            <w:tcW w:w="485" w:type="pct"/>
            <w:shd w:val="clear" w:color="auto" w:fill="B6DDE8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ชำระค่าธรรมเนียม</w:t>
            </w:r>
          </w:p>
        </w:tc>
        <w:tc>
          <w:tcPr>
            <w:tcW w:w="485" w:type="pct"/>
            <w:shd w:val="clear" w:color="auto" w:fill="D9D9D9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ตรวจสอบการประดิษฐ์</w:t>
            </w:r>
          </w:p>
        </w:tc>
        <w:tc>
          <w:tcPr>
            <w:tcW w:w="487" w:type="pct"/>
            <w:shd w:val="clear" w:color="auto" w:fill="B6DDE8"/>
            <w:textDirection w:val="btLr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ได้รับการจดทะเบียนแล้ว</w:t>
            </w:r>
          </w:p>
        </w:tc>
      </w:tr>
      <w:tr w:rsidR="007F0D01" w:rsidRPr="000544E8" w:rsidTr="007F0D01">
        <w:trPr>
          <w:trHeight w:val="390"/>
        </w:trPr>
        <w:tc>
          <w:tcPr>
            <w:tcW w:w="636" w:type="pct"/>
            <w:shd w:val="clear" w:color="auto" w:fill="auto"/>
            <w:vAlign w:val="center"/>
          </w:tcPr>
          <w:p w:rsidR="007F0D01" w:rsidRPr="000544E8" w:rsidRDefault="007F0D01" w:rsidP="007F0D0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0D01" w:rsidRPr="000544E8" w:rsidTr="007F0D01">
        <w:trPr>
          <w:trHeight w:val="390"/>
        </w:trPr>
        <w:tc>
          <w:tcPr>
            <w:tcW w:w="636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0D01" w:rsidRPr="000544E8" w:rsidTr="007F0D01">
        <w:trPr>
          <w:trHeight w:val="390"/>
        </w:trPr>
        <w:tc>
          <w:tcPr>
            <w:tcW w:w="636" w:type="pct"/>
            <w:shd w:val="clear" w:color="auto" w:fill="auto"/>
            <w:vAlign w:val="center"/>
          </w:tcPr>
          <w:p w:rsidR="007F0D01" w:rsidRPr="000544E8" w:rsidRDefault="007F0D01" w:rsidP="007F0D0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0D01" w:rsidRPr="000544E8" w:rsidTr="007F0D01">
        <w:trPr>
          <w:trHeight w:val="390"/>
        </w:trPr>
        <w:tc>
          <w:tcPr>
            <w:tcW w:w="636" w:type="pct"/>
            <w:shd w:val="clear" w:color="auto" w:fill="31849B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84" w:type="pct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4" w:type="pct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5" w:type="pct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54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7" w:type="pct"/>
            <w:shd w:val="clear" w:color="auto" w:fill="B6DDE8"/>
            <w:vAlign w:val="center"/>
          </w:tcPr>
          <w:p w:rsidR="007F0D01" w:rsidRPr="000544E8" w:rsidRDefault="007F0D01" w:rsidP="007F0D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7F0D01" w:rsidRDefault="007F0D01" w:rsidP="007F0D01">
      <w:pPr>
        <w:pStyle w:val="a3"/>
        <w:rPr>
          <w:rFonts w:ascii="TH SarabunPSK" w:hAnsi="TH SarabunPSK" w:cs="TH SarabunPSK"/>
          <w:sz w:val="32"/>
        </w:rPr>
      </w:pPr>
    </w:p>
    <w:p w:rsidR="007F0D01" w:rsidRDefault="007F0D01" w:rsidP="007F0D01">
      <w:pPr>
        <w:pStyle w:val="a3"/>
        <w:numPr>
          <w:ilvl w:val="2"/>
          <w:numId w:val="17"/>
        </w:numPr>
        <w:ind w:left="1843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t>การนำทรัพย์สินทางปัญญาไปใช้ประโยชน์เชิงพาณิชย์</w:t>
      </w:r>
    </w:p>
    <w:p w:rsidR="007F0D01" w:rsidRDefault="007F0D01" w:rsidP="007F0D01">
      <w:pPr>
        <w:pStyle w:val="a3"/>
        <w:ind w:firstLine="1843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t>ปีงบประมาณ</w:t>
      </w:r>
      <w:r w:rsidRPr="007F0D01">
        <w:rPr>
          <w:rFonts w:ascii="TH SarabunPSK" w:hAnsi="TH SarabunPSK" w:cs="TH SarabunPSK"/>
          <w:sz w:val="32"/>
          <w:cs/>
        </w:rPr>
        <w:t xml:space="preserve"> </w:t>
      </w:r>
      <w:r w:rsidRPr="007F0D01">
        <w:rPr>
          <w:rFonts w:ascii="TH SarabunPSK" w:hAnsi="TH SarabunPSK" w:cs="TH SarabunPSK" w:hint="cs"/>
          <w:sz w:val="32"/>
          <w:cs/>
        </w:rPr>
        <w:t>พ</w:t>
      </w:r>
      <w:r w:rsidRPr="007F0D01">
        <w:rPr>
          <w:rFonts w:ascii="TH SarabunPSK" w:hAnsi="TH SarabunPSK" w:cs="TH SarabunPSK"/>
          <w:sz w:val="32"/>
          <w:cs/>
        </w:rPr>
        <w:t>.</w:t>
      </w:r>
      <w:r w:rsidRPr="007F0D01">
        <w:rPr>
          <w:rFonts w:ascii="TH SarabunPSK" w:hAnsi="TH SarabunPSK" w:cs="TH SarabunPSK" w:hint="cs"/>
          <w:sz w:val="32"/>
          <w:cs/>
        </w:rPr>
        <w:t>ศ</w:t>
      </w:r>
      <w:r w:rsidRPr="007F0D01">
        <w:rPr>
          <w:rFonts w:ascii="TH SarabunPSK" w:hAnsi="TH SarabunPSK" w:cs="TH SarabunPSK"/>
          <w:sz w:val="32"/>
          <w:cs/>
        </w:rPr>
        <w:t xml:space="preserve">. </w:t>
      </w:r>
      <w:r w:rsidRPr="007F0D01">
        <w:rPr>
          <w:rFonts w:ascii="TH SarabunPSK" w:hAnsi="TH SarabunPSK" w:cs="TH SarabunPSK"/>
          <w:sz w:val="32"/>
        </w:rPr>
        <w:t xml:space="preserve">2564 </w:t>
      </w:r>
      <w:r w:rsidRPr="007F0D01">
        <w:rPr>
          <w:rFonts w:ascii="TH SarabunPSK" w:hAnsi="TH SarabunPSK" w:cs="TH SarabunPSK" w:hint="cs"/>
          <w:sz w:val="32"/>
          <w:cs/>
        </w:rPr>
        <w:t>มหาวิทยาลัยทักษิณ</w:t>
      </w:r>
      <w:bookmarkStart w:id="0" w:name="_GoBack"/>
      <w:bookmarkEnd w:id="0"/>
      <w:r w:rsidRPr="007F0D01">
        <w:rPr>
          <w:rFonts w:ascii="TH SarabunPSK" w:hAnsi="TH SarabunPSK" w:cs="TH SarabunPSK" w:hint="cs"/>
          <w:sz w:val="32"/>
          <w:cs/>
        </w:rPr>
        <w:t>ได้ดำเนินการอนุญาตให้นำทรัพย์สินทางปัญญาไปใช้ประโยชน์เชิงพาณิชย์แล้วดังนี้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7F0D01" w:rsidRPr="00C17E67" w:rsidTr="007F0D01">
        <w:tc>
          <w:tcPr>
            <w:tcW w:w="1588" w:type="pct"/>
            <w:shd w:val="clear" w:color="auto" w:fill="92CDDC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ประเภททรัพย์สินทางปัญญา</w:t>
            </w:r>
          </w:p>
        </w:tc>
        <w:tc>
          <w:tcPr>
            <w:tcW w:w="3412" w:type="pct"/>
            <w:shd w:val="clear" w:color="auto" w:fill="92CDDC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ชื่อเรื่อง/รายละเอียดการใช้สิทธิ์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auto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อนุญาตให้ใช้สิทธิ์แล้ว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1FB3" w:rsidRDefault="00E91FB3" w:rsidP="007F0D01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7F0D01" w:rsidRDefault="007F0D01" w:rsidP="007F0D01">
      <w:pPr>
        <w:pStyle w:val="a3"/>
        <w:numPr>
          <w:ilvl w:val="2"/>
          <w:numId w:val="17"/>
        </w:numPr>
        <w:ind w:left="1843"/>
        <w:rPr>
          <w:rFonts w:ascii="TH SarabunPSK" w:hAnsi="TH SarabunPSK" w:cs="TH SarabunPSK"/>
          <w:sz w:val="32"/>
        </w:rPr>
      </w:pPr>
      <w:r w:rsidRPr="007F0D01">
        <w:rPr>
          <w:rFonts w:ascii="TH SarabunPSK" w:hAnsi="TH SarabunPSK" w:cs="TH SarabunPSK" w:hint="cs"/>
          <w:sz w:val="32"/>
          <w:cs/>
        </w:rPr>
        <w:lastRenderedPageBreak/>
        <w:t>ทรัพย์สินทางปัญญาอยู่ระหว่างการเจรจา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7F0D01" w:rsidRPr="00C17E67" w:rsidTr="007F0D01">
        <w:tc>
          <w:tcPr>
            <w:tcW w:w="1588" w:type="pct"/>
            <w:shd w:val="clear" w:color="auto" w:fill="92CDDC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ประเภททรัพย์สินทางปัญญา</w:t>
            </w:r>
          </w:p>
        </w:tc>
        <w:tc>
          <w:tcPr>
            <w:tcW w:w="3412" w:type="pct"/>
            <w:shd w:val="clear" w:color="auto" w:fill="92CDDC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ชื่อเรื่อง/รายละเอียดการใช้สิทธิ์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auto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อยู่ระหว่างการเจรจา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DAEEF3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EAF1DD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7E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17E67">
              <w:rPr>
                <w:rFonts w:ascii="TH SarabunPSK" w:hAnsi="TH SarabunPSK" w:cs="TH SarabunPSK"/>
                <w:sz w:val="28"/>
                <w:cs/>
              </w:rPr>
              <w:t>รายละเอียดการใช้สิทธิ์</w:t>
            </w:r>
          </w:p>
        </w:tc>
      </w:tr>
      <w:tr w:rsidR="007F0D01" w:rsidRPr="00C17E67" w:rsidTr="007F0D01">
        <w:tc>
          <w:tcPr>
            <w:tcW w:w="1588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12" w:type="pct"/>
            <w:shd w:val="clear" w:color="auto" w:fill="FDE9D9"/>
            <w:vAlign w:val="center"/>
          </w:tcPr>
          <w:p w:rsidR="007F0D01" w:rsidRPr="00C17E67" w:rsidRDefault="007F0D01" w:rsidP="007F0D0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F0D01" w:rsidRPr="007F0D01" w:rsidRDefault="007F0D01" w:rsidP="007F0D01">
      <w:pPr>
        <w:pStyle w:val="a3"/>
        <w:rPr>
          <w:rFonts w:ascii="TH SarabunPSK" w:hAnsi="TH SarabunPSK" w:cs="TH SarabunPSK"/>
          <w:sz w:val="32"/>
        </w:rPr>
      </w:pPr>
    </w:p>
    <w:p w:rsidR="007F0D01" w:rsidRPr="007F0D01" w:rsidRDefault="007F0D01" w:rsidP="007F0D01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cs/>
        </w:rPr>
        <w:sectPr w:rsidR="007F0D01" w:rsidRPr="007F0D0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95BDF" w:rsidRDefault="00E25F8B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E25F8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สถาบันวิจัยและพัฒนา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E25F8B" w:rsidRPr="00E25F8B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E25F8B" w:rsidRPr="00E25F8B">
        <w:rPr>
          <w:rFonts w:ascii="TH SarabunPSK" w:hAnsi="TH SarabunPSK" w:cs="TH SarabunPSK" w:hint="cs"/>
          <w:sz w:val="32"/>
          <w:cs/>
        </w:rPr>
        <w:t>สถาบันวิจัยและพัฒนา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DPI 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7F0D01">
        <w:tc>
          <w:tcPr>
            <w:tcW w:w="3686" w:type="dxa"/>
          </w:tcPr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250A88" w:rsidRPr="00142907" w:rsidRDefault="00250A88" w:rsidP="007F0D01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: 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…..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FA" w:rsidRDefault="003904FA" w:rsidP="00F17685">
      <w:r>
        <w:separator/>
      </w:r>
    </w:p>
  </w:endnote>
  <w:endnote w:type="continuationSeparator" w:id="0">
    <w:p w:rsidR="003904FA" w:rsidRDefault="003904FA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D01" w:rsidRPr="00F17685" w:rsidRDefault="007F0D01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F17685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F45DE8">
          <w:rPr>
            <w:rFonts w:ascii="TH SarabunPSK" w:hAnsi="TH SarabunPSK" w:cs="TH SarabunPSK"/>
            <w:noProof/>
            <w:sz w:val="28"/>
            <w:szCs w:val="28"/>
          </w:rPr>
          <w:t>42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7F0D01" w:rsidRDefault="007F0D0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FA" w:rsidRDefault="003904FA" w:rsidP="00F17685">
      <w:r>
        <w:separator/>
      </w:r>
    </w:p>
  </w:footnote>
  <w:footnote w:type="continuationSeparator" w:id="0">
    <w:p w:rsidR="003904FA" w:rsidRDefault="003904FA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3AFF"/>
    <w:multiLevelType w:val="hybridMultilevel"/>
    <w:tmpl w:val="5F98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3CF"/>
    <w:multiLevelType w:val="hybridMultilevel"/>
    <w:tmpl w:val="F0E8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F16DE"/>
    <w:multiLevelType w:val="hybridMultilevel"/>
    <w:tmpl w:val="5F98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A0B2C"/>
    <w:multiLevelType w:val="multilevel"/>
    <w:tmpl w:val="46FCA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C1382"/>
    <w:multiLevelType w:val="hybridMultilevel"/>
    <w:tmpl w:val="5F98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16130"/>
    <w:multiLevelType w:val="multilevel"/>
    <w:tmpl w:val="124A0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9"/>
  </w:num>
  <w:num w:numId="3">
    <w:abstractNumId w:val="16"/>
  </w:num>
  <w:num w:numId="4">
    <w:abstractNumId w:val="29"/>
  </w:num>
  <w:num w:numId="5">
    <w:abstractNumId w:val="18"/>
  </w:num>
  <w:num w:numId="6">
    <w:abstractNumId w:val="15"/>
  </w:num>
  <w:num w:numId="7">
    <w:abstractNumId w:val="28"/>
  </w:num>
  <w:num w:numId="8">
    <w:abstractNumId w:val="24"/>
  </w:num>
  <w:num w:numId="9">
    <w:abstractNumId w:val="1"/>
  </w:num>
  <w:num w:numId="10">
    <w:abstractNumId w:val="7"/>
  </w:num>
  <w:num w:numId="11">
    <w:abstractNumId w:val="8"/>
  </w:num>
  <w:num w:numId="12">
    <w:abstractNumId w:val="25"/>
  </w:num>
  <w:num w:numId="13">
    <w:abstractNumId w:val="6"/>
  </w:num>
  <w:num w:numId="14">
    <w:abstractNumId w:val="14"/>
  </w:num>
  <w:num w:numId="15">
    <w:abstractNumId w:val="2"/>
  </w:num>
  <w:num w:numId="16">
    <w:abstractNumId w:val="17"/>
  </w:num>
  <w:num w:numId="17">
    <w:abstractNumId w:val="32"/>
  </w:num>
  <w:num w:numId="18">
    <w:abstractNumId w:val="22"/>
  </w:num>
  <w:num w:numId="19">
    <w:abstractNumId w:val="0"/>
  </w:num>
  <w:num w:numId="20">
    <w:abstractNumId w:val="33"/>
  </w:num>
  <w:num w:numId="21">
    <w:abstractNumId w:val="21"/>
  </w:num>
  <w:num w:numId="22">
    <w:abstractNumId w:val="4"/>
  </w:num>
  <w:num w:numId="23">
    <w:abstractNumId w:val="27"/>
  </w:num>
  <w:num w:numId="24">
    <w:abstractNumId w:val="26"/>
  </w:num>
  <w:num w:numId="25">
    <w:abstractNumId w:val="30"/>
  </w:num>
  <w:num w:numId="26">
    <w:abstractNumId w:val="13"/>
  </w:num>
  <w:num w:numId="27">
    <w:abstractNumId w:val="10"/>
  </w:num>
  <w:num w:numId="28">
    <w:abstractNumId w:val="20"/>
  </w:num>
  <w:num w:numId="29">
    <w:abstractNumId w:val="23"/>
  </w:num>
  <w:num w:numId="30">
    <w:abstractNumId w:val="11"/>
  </w:num>
  <w:num w:numId="31">
    <w:abstractNumId w:val="5"/>
  </w:num>
  <w:num w:numId="32">
    <w:abstractNumId w:val="19"/>
  </w:num>
  <w:num w:numId="33">
    <w:abstractNumId w:val="3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77"/>
    <w:rsid w:val="000D2F62"/>
    <w:rsid w:val="001C6914"/>
    <w:rsid w:val="00250A88"/>
    <w:rsid w:val="00275F77"/>
    <w:rsid w:val="00281A37"/>
    <w:rsid w:val="002D3431"/>
    <w:rsid w:val="003904FA"/>
    <w:rsid w:val="003C107A"/>
    <w:rsid w:val="00445043"/>
    <w:rsid w:val="00655E88"/>
    <w:rsid w:val="006760C4"/>
    <w:rsid w:val="006B1CEB"/>
    <w:rsid w:val="007616AC"/>
    <w:rsid w:val="007F0D01"/>
    <w:rsid w:val="00833ABF"/>
    <w:rsid w:val="00856643"/>
    <w:rsid w:val="00873883"/>
    <w:rsid w:val="009037F1"/>
    <w:rsid w:val="00950D17"/>
    <w:rsid w:val="009A5057"/>
    <w:rsid w:val="009D5E75"/>
    <w:rsid w:val="00A71EA3"/>
    <w:rsid w:val="00A74FE3"/>
    <w:rsid w:val="00C07184"/>
    <w:rsid w:val="00CA340A"/>
    <w:rsid w:val="00D82A73"/>
    <w:rsid w:val="00E008DF"/>
    <w:rsid w:val="00E25F8B"/>
    <w:rsid w:val="00E57AE9"/>
    <w:rsid w:val="00E65A3E"/>
    <w:rsid w:val="00E91FB3"/>
    <w:rsid w:val="00E95BDF"/>
    <w:rsid w:val="00EF297F"/>
    <w:rsid w:val="00F023F5"/>
    <w:rsid w:val="00F17685"/>
    <w:rsid w:val="00F4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1C6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EzEdiohrHynQiBW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571E-B6B2-4BA9-B944-3D712287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47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16</cp:revision>
  <dcterms:created xsi:type="dcterms:W3CDTF">2021-12-29T10:32:00Z</dcterms:created>
  <dcterms:modified xsi:type="dcterms:W3CDTF">2022-01-05T06:48:00Z</dcterms:modified>
</cp:coreProperties>
</file>